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844" w:rsidRPr="00A47844" w:rsidRDefault="00A47844" w:rsidP="00A4784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__________________________________________________ Date: ________________________ Period: _____</w:t>
      </w:r>
    </w:p>
    <w:p w:rsidR="00A47844" w:rsidRDefault="00A47844" w:rsidP="00A4784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555D2" w:rsidRDefault="00A47844" w:rsidP="00A4784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Unit 9 Textbook Notes: The Nervous System</w:t>
      </w:r>
      <w:r w:rsidR="00F70A4A">
        <w:rPr>
          <w:rFonts w:ascii="Arial" w:hAnsi="Arial" w:cs="Arial"/>
          <w:b/>
          <w:sz w:val="20"/>
          <w:szCs w:val="20"/>
          <w:u w:val="single"/>
        </w:rPr>
        <w:t xml:space="preserve"> (Chapter 48)</w:t>
      </w:r>
    </w:p>
    <w:p w:rsidR="00A47844" w:rsidRDefault="00A47844" w:rsidP="0079376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Biology, 2012-2013</w:t>
      </w:r>
    </w:p>
    <w:p w:rsidR="00793766" w:rsidRPr="00793766" w:rsidRDefault="00793766" w:rsidP="0079376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47844" w:rsidRDefault="00A47844" w:rsidP="00A47844">
      <w:pPr>
        <w:rPr>
          <w:rFonts w:ascii="Arial" w:hAnsi="Arial" w:cs="Arial"/>
          <w:b/>
          <w:i/>
          <w:sz w:val="20"/>
          <w:szCs w:val="20"/>
        </w:rPr>
      </w:pPr>
      <w:r w:rsidRPr="00A47844">
        <w:rPr>
          <w:rFonts w:ascii="Arial" w:hAnsi="Arial" w:cs="Arial"/>
          <w:b/>
          <w:i/>
          <w:sz w:val="20"/>
          <w:szCs w:val="20"/>
        </w:rPr>
        <w:t>Organization of the Nervous System</w:t>
      </w:r>
    </w:p>
    <w:p w:rsidR="00A47844" w:rsidRDefault="00A47844" w:rsidP="00A47844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overall function of the nervous system?</w:t>
      </w:r>
    </w:p>
    <w:p w:rsidR="00A47844" w:rsidRPr="00A47844" w:rsidRDefault="00A47844" w:rsidP="00A47844">
      <w:pPr>
        <w:pStyle w:val="ListParagraph"/>
        <w:rPr>
          <w:rFonts w:ascii="Arial" w:hAnsi="Arial" w:cs="Arial"/>
          <w:sz w:val="20"/>
          <w:szCs w:val="20"/>
        </w:rPr>
      </w:pPr>
    </w:p>
    <w:p w:rsidR="00A47844" w:rsidRDefault="00A47844" w:rsidP="00A47844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 simple animals like cnidarians (ex: jellyfish) organize their nervous system differently from more complex animals?</w:t>
      </w:r>
    </w:p>
    <w:p w:rsidR="00A47844" w:rsidRPr="00A47844" w:rsidRDefault="00A47844" w:rsidP="00A47844">
      <w:pPr>
        <w:pStyle w:val="ListParagraph"/>
        <w:rPr>
          <w:rFonts w:ascii="Arial" w:hAnsi="Arial" w:cs="Arial"/>
          <w:sz w:val="20"/>
          <w:szCs w:val="20"/>
        </w:rPr>
      </w:pPr>
    </w:p>
    <w:p w:rsidR="00A47844" w:rsidRDefault="00A47844" w:rsidP="00A47844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is the central nervous system (CNS) different from the peripheral nervous system (PNS)?</w:t>
      </w:r>
    </w:p>
    <w:p w:rsidR="00A47844" w:rsidRPr="00A47844" w:rsidRDefault="00A47844" w:rsidP="00A47844">
      <w:pPr>
        <w:pStyle w:val="ListParagraph"/>
        <w:rPr>
          <w:rFonts w:ascii="Arial" w:hAnsi="Arial" w:cs="Arial"/>
          <w:sz w:val="20"/>
          <w:szCs w:val="20"/>
        </w:rPr>
      </w:pPr>
    </w:p>
    <w:p w:rsidR="00A47844" w:rsidRDefault="00A47844" w:rsidP="00A47844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the function and location of the following types of neurons: sensory neurons, </w:t>
      </w:r>
      <w:proofErr w:type="spellStart"/>
      <w:r>
        <w:rPr>
          <w:rFonts w:ascii="Arial" w:hAnsi="Arial" w:cs="Arial"/>
          <w:sz w:val="20"/>
          <w:szCs w:val="20"/>
        </w:rPr>
        <w:t>interneurons</w:t>
      </w:r>
      <w:proofErr w:type="spellEnd"/>
      <w:r>
        <w:rPr>
          <w:rFonts w:ascii="Arial" w:hAnsi="Arial" w:cs="Arial"/>
          <w:sz w:val="20"/>
          <w:szCs w:val="20"/>
        </w:rPr>
        <w:t xml:space="preserve">, and motor neurons.  </w:t>
      </w:r>
    </w:p>
    <w:p w:rsidR="007969A4" w:rsidRPr="007969A4" w:rsidRDefault="007969A4" w:rsidP="007969A4">
      <w:pPr>
        <w:pStyle w:val="ListParagraph"/>
        <w:rPr>
          <w:rFonts w:ascii="Arial" w:hAnsi="Arial" w:cs="Arial"/>
          <w:sz w:val="20"/>
          <w:szCs w:val="20"/>
        </w:rPr>
      </w:pPr>
    </w:p>
    <w:p w:rsidR="007969A4" w:rsidRDefault="007969A4" w:rsidP="00A47844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Provide a basic explanation of the knee-jerk reflex.  Identify the types of neurons and body structures involved.</w:t>
      </w:r>
    </w:p>
    <w:p w:rsidR="007969A4" w:rsidRPr="007969A4" w:rsidRDefault="007969A4" w:rsidP="007969A4">
      <w:pPr>
        <w:pStyle w:val="ListParagraph"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center" w:tblpY="4105"/>
        <w:tblW w:w="0" w:type="auto"/>
        <w:tblLook w:val="04A0"/>
      </w:tblPr>
      <w:tblGrid>
        <w:gridCol w:w="2178"/>
        <w:gridCol w:w="6840"/>
      </w:tblGrid>
      <w:tr w:rsidR="007969A4" w:rsidTr="007969A4">
        <w:tc>
          <w:tcPr>
            <w:tcW w:w="2178" w:type="dxa"/>
            <w:shd w:val="pct20" w:color="auto" w:fill="auto"/>
          </w:tcPr>
          <w:p w:rsidR="007969A4" w:rsidRPr="007969A4" w:rsidRDefault="007969A4" w:rsidP="007969A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Structure</w:t>
            </w:r>
          </w:p>
        </w:tc>
        <w:tc>
          <w:tcPr>
            <w:tcW w:w="6840" w:type="dxa"/>
            <w:shd w:val="pct20" w:color="auto" w:fill="auto"/>
          </w:tcPr>
          <w:p w:rsidR="007969A4" w:rsidRPr="007969A4" w:rsidRDefault="007969A4" w:rsidP="007969A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69A4">
              <w:rPr>
                <w:rFonts w:ascii="Arial" w:hAnsi="Arial" w:cs="Arial"/>
                <w:b/>
                <w:sz w:val="20"/>
                <w:szCs w:val="20"/>
              </w:rPr>
              <w:t>Function</w:t>
            </w:r>
          </w:p>
        </w:tc>
      </w:tr>
      <w:tr w:rsidR="007969A4" w:rsidTr="007969A4">
        <w:tc>
          <w:tcPr>
            <w:tcW w:w="2178" w:type="dxa"/>
          </w:tcPr>
          <w:p w:rsidR="007969A4" w:rsidRDefault="007969A4" w:rsidP="00796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Cell body</w:t>
            </w:r>
          </w:p>
        </w:tc>
        <w:tc>
          <w:tcPr>
            <w:tcW w:w="6840" w:type="dxa"/>
          </w:tcPr>
          <w:p w:rsidR="007969A4" w:rsidRDefault="007969A4" w:rsidP="00796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969A4" w:rsidRDefault="007969A4" w:rsidP="00796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9A4" w:rsidTr="007969A4">
        <w:tc>
          <w:tcPr>
            <w:tcW w:w="2178" w:type="dxa"/>
          </w:tcPr>
          <w:p w:rsidR="007969A4" w:rsidRDefault="007969A4" w:rsidP="00796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Nucleus</w:t>
            </w:r>
          </w:p>
        </w:tc>
        <w:tc>
          <w:tcPr>
            <w:tcW w:w="6840" w:type="dxa"/>
          </w:tcPr>
          <w:p w:rsidR="007969A4" w:rsidRDefault="007969A4" w:rsidP="00796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969A4" w:rsidRDefault="007969A4" w:rsidP="00796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9A4" w:rsidTr="007969A4">
        <w:tc>
          <w:tcPr>
            <w:tcW w:w="2178" w:type="dxa"/>
          </w:tcPr>
          <w:p w:rsidR="007969A4" w:rsidRDefault="007969A4" w:rsidP="00796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Dendrites</w:t>
            </w:r>
          </w:p>
        </w:tc>
        <w:tc>
          <w:tcPr>
            <w:tcW w:w="6840" w:type="dxa"/>
          </w:tcPr>
          <w:p w:rsidR="007969A4" w:rsidRDefault="007969A4" w:rsidP="00796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969A4" w:rsidRDefault="007969A4" w:rsidP="00796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9A4" w:rsidTr="007969A4">
        <w:tc>
          <w:tcPr>
            <w:tcW w:w="2178" w:type="dxa"/>
          </w:tcPr>
          <w:p w:rsidR="007969A4" w:rsidRDefault="007969A4" w:rsidP="00796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Axon</w:t>
            </w:r>
          </w:p>
        </w:tc>
        <w:tc>
          <w:tcPr>
            <w:tcW w:w="6840" w:type="dxa"/>
          </w:tcPr>
          <w:p w:rsidR="007969A4" w:rsidRDefault="007969A4" w:rsidP="00796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969A4" w:rsidRDefault="007969A4" w:rsidP="00796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9A4" w:rsidTr="007969A4">
        <w:tc>
          <w:tcPr>
            <w:tcW w:w="2178" w:type="dxa"/>
          </w:tcPr>
          <w:p w:rsidR="007969A4" w:rsidRDefault="007969A4" w:rsidP="00796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Schwann Cell </w:t>
            </w:r>
          </w:p>
        </w:tc>
        <w:tc>
          <w:tcPr>
            <w:tcW w:w="6840" w:type="dxa"/>
          </w:tcPr>
          <w:p w:rsidR="007969A4" w:rsidRDefault="007969A4" w:rsidP="00796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969A4" w:rsidRDefault="007969A4" w:rsidP="00796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9A4" w:rsidTr="007969A4">
        <w:tc>
          <w:tcPr>
            <w:tcW w:w="2178" w:type="dxa"/>
          </w:tcPr>
          <w:p w:rsidR="007969A4" w:rsidRDefault="007969A4" w:rsidP="00796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Axon terminal </w:t>
            </w:r>
          </w:p>
        </w:tc>
        <w:tc>
          <w:tcPr>
            <w:tcW w:w="6840" w:type="dxa"/>
          </w:tcPr>
          <w:p w:rsidR="007969A4" w:rsidRDefault="007969A4" w:rsidP="00796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969A4" w:rsidRDefault="007969A4" w:rsidP="00796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969A4" w:rsidRPr="007969A4" w:rsidRDefault="007969A4" w:rsidP="007969A4">
      <w:pPr>
        <w:pStyle w:val="ListParagraph"/>
        <w:numPr>
          <w:ilvl w:val="0"/>
          <w:numId w:val="1"/>
        </w:num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Label the following parts of the neurons pictured below: cell body, nucleus, dendrites, axon, Schwann cell (forms the myelin sheath), axon terminal (aka synaptic terminal).  Describe function of each </w:t>
      </w:r>
      <w:r w:rsidR="00AD2099">
        <w:rPr>
          <w:rFonts w:ascii="Arial" w:hAnsi="Arial" w:cs="Arial"/>
          <w:sz w:val="20"/>
          <w:szCs w:val="20"/>
        </w:rPr>
        <w:t xml:space="preserve">structure in the </w:t>
      </w:r>
      <w:r w:rsidR="00A52F13">
        <w:rPr>
          <w:rFonts w:ascii="Arial" w:hAnsi="Arial" w:cs="Arial"/>
          <w:sz w:val="20"/>
          <w:szCs w:val="20"/>
        </w:rPr>
        <w:t>chart below.</w:t>
      </w:r>
      <w:r w:rsidRPr="007969A4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3806190" cy="2052320"/>
            <wp:effectExtent l="0" t="0" r="0" b="0"/>
            <wp:docPr id="4" name="irc_mi" descr="http://upload.wikimedia.org/wikipedia/commons/thumb/b/bc/Neuron_Hand-tuned.svg/400px-Neuron_Hand-tuned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commons/thumb/b/bc/Neuron_Hand-tuned.svg/400px-Neuron_Hand-tuned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190" cy="205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9A4" w:rsidRDefault="007969A4" w:rsidP="007969A4">
      <w:pPr>
        <w:jc w:val="right"/>
        <w:rPr>
          <w:rFonts w:ascii="Arial" w:hAnsi="Arial" w:cs="Arial"/>
          <w:sz w:val="20"/>
          <w:szCs w:val="20"/>
        </w:rPr>
      </w:pPr>
    </w:p>
    <w:p w:rsidR="007969A4" w:rsidRDefault="007969A4" w:rsidP="007969A4">
      <w:pPr>
        <w:jc w:val="center"/>
        <w:rPr>
          <w:rFonts w:ascii="Arial" w:hAnsi="Arial" w:cs="Arial"/>
          <w:sz w:val="20"/>
          <w:szCs w:val="20"/>
        </w:rPr>
      </w:pPr>
    </w:p>
    <w:p w:rsidR="007969A4" w:rsidRDefault="007969A4" w:rsidP="007969A4">
      <w:pPr>
        <w:jc w:val="center"/>
        <w:rPr>
          <w:rFonts w:ascii="Arial" w:hAnsi="Arial" w:cs="Arial"/>
          <w:sz w:val="20"/>
          <w:szCs w:val="20"/>
        </w:rPr>
      </w:pPr>
    </w:p>
    <w:p w:rsidR="007969A4" w:rsidRDefault="007969A4" w:rsidP="007969A4">
      <w:pPr>
        <w:jc w:val="center"/>
        <w:rPr>
          <w:rFonts w:ascii="Arial" w:hAnsi="Arial" w:cs="Arial"/>
          <w:sz w:val="20"/>
          <w:szCs w:val="20"/>
        </w:rPr>
      </w:pPr>
    </w:p>
    <w:p w:rsidR="007969A4" w:rsidRDefault="007969A4" w:rsidP="007969A4">
      <w:pPr>
        <w:jc w:val="center"/>
        <w:rPr>
          <w:rFonts w:ascii="Arial" w:hAnsi="Arial" w:cs="Arial"/>
          <w:sz w:val="20"/>
          <w:szCs w:val="20"/>
        </w:rPr>
      </w:pPr>
    </w:p>
    <w:p w:rsidR="007969A4" w:rsidRDefault="007969A4" w:rsidP="007969A4">
      <w:pPr>
        <w:jc w:val="center"/>
        <w:rPr>
          <w:rFonts w:ascii="Arial" w:hAnsi="Arial" w:cs="Arial"/>
          <w:sz w:val="20"/>
          <w:szCs w:val="20"/>
        </w:rPr>
      </w:pPr>
    </w:p>
    <w:p w:rsidR="007969A4" w:rsidRDefault="007969A4" w:rsidP="007969A4">
      <w:pPr>
        <w:jc w:val="center"/>
        <w:rPr>
          <w:rFonts w:ascii="Arial" w:hAnsi="Arial" w:cs="Arial"/>
          <w:sz w:val="20"/>
          <w:szCs w:val="20"/>
        </w:rPr>
      </w:pPr>
    </w:p>
    <w:p w:rsidR="007969A4" w:rsidRDefault="007969A4" w:rsidP="008F5ABE">
      <w:pPr>
        <w:rPr>
          <w:rFonts w:ascii="Arial" w:hAnsi="Arial" w:cs="Arial"/>
          <w:sz w:val="20"/>
          <w:szCs w:val="20"/>
        </w:rPr>
      </w:pPr>
    </w:p>
    <w:p w:rsidR="008F5ABE" w:rsidRPr="008F5ABE" w:rsidRDefault="008F5ABE" w:rsidP="008F5ABE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Sending Signals</w:t>
      </w:r>
      <w:r w:rsidR="002A27A5">
        <w:rPr>
          <w:rFonts w:ascii="Arial" w:hAnsi="Arial" w:cs="Arial"/>
          <w:b/>
          <w:i/>
          <w:sz w:val="20"/>
          <w:szCs w:val="20"/>
        </w:rPr>
        <w:t xml:space="preserve"> down a single Neuron</w:t>
      </w:r>
      <w:r>
        <w:rPr>
          <w:rFonts w:ascii="Arial" w:hAnsi="Arial" w:cs="Arial"/>
          <w:b/>
          <w:i/>
          <w:sz w:val="20"/>
          <w:szCs w:val="20"/>
        </w:rPr>
        <w:t xml:space="preserve"> (via Action Potential)</w:t>
      </w:r>
    </w:p>
    <w:p w:rsidR="007969A4" w:rsidRDefault="008F5ABE" w:rsidP="008F5AB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membrane potential?  How do scientists measure membrane potential using a microelectrode?</w:t>
      </w:r>
    </w:p>
    <w:p w:rsidR="008F5ABE" w:rsidRPr="008F5ABE" w:rsidRDefault="008F5ABE" w:rsidP="008F5ABE">
      <w:pPr>
        <w:pStyle w:val="ListParagraph"/>
        <w:rPr>
          <w:rFonts w:ascii="Arial" w:hAnsi="Arial" w:cs="Arial"/>
          <w:sz w:val="20"/>
          <w:szCs w:val="20"/>
        </w:rPr>
      </w:pPr>
    </w:p>
    <w:p w:rsidR="008F5ABE" w:rsidRPr="008F5ABE" w:rsidRDefault="008F5ABE" w:rsidP="008F5AB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Define resting potential.  Why do we consider a neuron “polarized” when in a resting state?</w:t>
      </w:r>
    </w:p>
    <w:p w:rsidR="008F5ABE" w:rsidRPr="008F5ABE" w:rsidRDefault="008F5ABE" w:rsidP="008F5ABE">
      <w:pPr>
        <w:pStyle w:val="ListParagraph"/>
        <w:rPr>
          <w:rFonts w:ascii="Arial" w:hAnsi="Arial" w:cs="Arial"/>
          <w:sz w:val="20"/>
          <w:szCs w:val="20"/>
        </w:rPr>
      </w:pPr>
    </w:p>
    <w:p w:rsidR="008F5ABE" w:rsidRDefault="008F5ABE" w:rsidP="008F5AB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Describe Na+ and K+ ion concentrations inside and outside of the neuron at resting potential.</w:t>
      </w:r>
    </w:p>
    <w:p w:rsidR="008F5ABE" w:rsidRPr="008F5ABE" w:rsidRDefault="008F5ABE" w:rsidP="008F5ABE">
      <w:pPr>
        <w:pStyle w:val="ListParagraph"/>
        <w:rPr>
          <w:rFonts w:ascii="Arial" w:hAnsi="Arial" w:cs="Arial"/>
          <w:i/>
          <w:sz w:val="20"/>
          <w:szCs w:val="20"/>
        </w:rPr>
      </w:pPr>
    </w:p>
    <w:p w:rsidR="008F5ABE" w:rsidRDefault="008F5ABE" w:rsidP="008F5AB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the difference between the three types of gated ion channels: stretch-gated ion channels, </w:t>
      </w:r>
      <w:proofErr w:type="spellStart"/>
      <w:r>
        <w:rPr>
          <w:rFonts w:ascii="Arial" w:hAnsi="Arial" w:cs="Arial"/>
          <w:sz w:val="20"/>
          <w:szCs w:val="20"/>
        </w:rPr>
        <w:t>ligand</w:t>
      </w:r>
      <w:proofErr w:type="spellEnd"/>
      <w:r>
        <w:rPr>
          <w:rFonts w:ascii="Arial" w:hAnsi="Arial" w:cs="Arial"/>
          <w:sz w:val="20"/>
          <w:szCs w:val="20"/>
        </w:rPr>
        <w:t>-gated ion channels, and voltage-gated ion channels.</w:t>
      </w:r>
    </w:p>
    <w:p w:rsidR="008F5ABE" w:rsidRPr="008F5ABE" w:rsidRDefault="008F5ABE" w:rsidP="008F5ABE">
      <w:pPr>
        <w:pStyle w:val="ListParagraph"/>
        <w:rPr>
          <w:rFonts w:ascii="Arial" w:hAnsi="Arial" w:cs="Arial"/>
          <w:i/>
          <w:sz w:val="20"/>
          <w:szCs w:val="20"/>
        </w:rPr>
      </w:pPr>
    </w:p>
    <w:p w:rsidR="002A27A5" w:rsidRDefault="002A27A5" w:rsidP="008F5AB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Why </w:t>
      </w:r>
      <w:proofErr w:type="gramStart"/>
      <w:r>
        <w:rPr>
          <w:rFonts w:ascii="Arial" w:hAnsi="Arial" w:cs="Arial"/>
          <w:sz w:val="20"/>
          <w:szCs w:val="20"/>
        </w:rPr>
        <w:t>is an axon potential response</w:t>
      </w:r>
      <w:proofErr w:type="gramEnd"/>
      <w:r>
        <w:rPr>
          <w:rFonts w:ascii="Arial" w:hAnsi="Arial" w:cs="Arial"/>
          <w:sz w:val="20"/>
          <w:szCs w:val="20"/>
        </w:rPr>
        <w:t xml:space="preserve"> considered an “all or nothing phenomenon?”  What type of change in membrane potential will cause an action potential?</w:t>
      </w:r>
    </w:p>
    <w:p w:rsidR="002A27A5" w:rsidRPr="002A27A5" w:rsidRDefault="002A27A5" w:rsidP="002A27A5">
      <w:pPr>
        <w:pStyle w:val="ListParagraph"/>
        <w:rPr>
          <w:rFonts w:ascii="Arial" w:hAnsi="Arial" w:cs="Arial"/>
          <w:sz w:val="20"/>
          <w:szCs w:val="20"/>
        </w:rPr>
      </w:pPr>
    </w:p>
    <w:p w:rsidR="002A27A5" w:rsidRDefault="002A27A5" w:rsidP="008F5AB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Draw lines to connect each step in the action potential (listed in order) with the appropriate image and step name.</w:t>
      </w:r>
    </w:p>
    <w:tbl>
      <w:tblPr>
        <w:tblStyle w:val="TableGrid"/>
        <w:tblpPr w:leftFromText="180" w:rightFromText="180" w:vertAnchor="text" w:horzAnchor="margin" w:tblpXSpec="center" w:tblpY="204"/>
        <w:tblW w:w="0" w:type="auto"/>
        <w:tblLook w:val="04A0"/>
      </w:tblPr>
      <w:tblGrid>
        <w:gridCol w:w="3798"/>
        <w:gridCol w:w="4926"/>
        <w:gridCol w:w="2292"/>
      </w:tblGrid>
      <w:tr w:rsidR="002A27A5" w:rsidTr="006A27E3">
        <w:tc>
          <w:tcPr>
            <w:tcW w:w="3798" w:type="dxa"/>
            <w:shd w:val="pct20" w:color="auto" w:fill="auto"/>
          </w:tcPr>
          <w:p w:rsidR="002A27A5" w:rsidRPr="007969A4" w:rsidRDefault="002A27A5" w:rsidP="002A27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Step</w:t>
            </w:r>
          </w:p>
        </w:tc>
        <w:tc>
          <w:tcPr>
            <w:tcW w:w="4926" w:type="dxa"/>
            <w:shd w:val="pct20" w:color="auto" w:fill="auto"/>
          </w:tcPr>
          <w:p w:rsidR="002A27A5" w:rsidRPr="007969A4" w:rsidRDefault="002A27A5" w:rsidP="002A27A5">
            <w:pPr>
              <w:tabs>
                <w:tab w:val="left" w:pos="1507"/>
                <w:tab w:val="center" w:pos="331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Image</w:t>
            </w:r>
          </w:p>
        </w:tc>
        <w:tc>
          <w:tcPr>
            <w:tcW w:w="2292" w:type="dxa"/>
            <w:shd w:val="pct20" w:color="auto" w:fill="auto"/>
          </w:tcPr>
          <w:p w:rsidR="002A27A5" w:rsidRDefault="002A27A5" w:rsidP="002A27A5">
            <w:pPr>
              <w:tabs>
                <w:tab w:val="left" w:pos="1507"/>
                <w:tab w:val="center" w:pos="331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</w:tr>
      <w:tr w:rsidR="002A27A5" w:rsidTr="006A27E3">
        <w:tc>
          <w:tcPr>
            <w:tcW w:w="3798" w:type="dxa"/>
          </w:tcPr>
          <w:p w:rsidR="002A27A5" w:rsidRDefault="006A27E3" w:rsidP="002A27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Activation g</w:t>
            </w:r>
            <w:r w:rsidR="002A27A5">
              <w:rPr>
                <w:rFonts w:ascii="Arial" w:hAnsi="Arial" w:cs="Arial"/>
                <w:sz w:val="20"/>
                <w:szCs w:val="20"/>
              </w:rPr>
              <w:t>ates on gated ion channels are closed and the membrane’s resting potential is maintained at approximately -70 mV.</w:t>
            </w:r>
          </w:p>
        </w:tc>
        <w:tc>
          <w:tcPr>
            <w:tcW w:w="4926" w:type="dxa"/>
          </w:tcPr>
          <w:p w:rsidR="002A27A5" w:rsidRDefault="006A27E3" w:rsidP="006A2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500866" cy="1250826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341" cy="12510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27A5" w:rsidRDefault="002A27A5" w:rsidP="002A27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2" w:type="dxa"/>
          </w:tcPr>
          <w:p w:rsidR="002A27A5" w:rsidRDefault="002A27A5" w:rsidP="002A27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Depolarization</w:t>
            </w:r>
          </w:p>
        </w:tc>
      </w:tr>
      <w:tr w:rsidR="002A27A5" w:rsidTr="006A27E3">
        <w:tc>
          <w:tcPr>
            <w:tcW w:w="3798" w:type="dxa"/>
          </w:tcPr>
          <w:p w:rsidR="002A27A5" w:rsidRDefault="002A27A5" w:rsidP="002A27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Depending on the type of neuron, stretch-gated ion channels or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ligand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-gated ion channels will open in response to a stimulus, causing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an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Na+ influx into the cell.  This reduces the negative charge inside the cell.  If the membrane potential reaches the threshold, it triggers an action potential</w:t>
            </w:r>
          </w:p>
        </w:tc>
        <w:tc>
          <w:tcPr>
            <w:tcW w:w="4926" w:type="dxa"/>
          </w:tcPr>
          <w:p w:rsidR="002A27A5" w:rsidRDefault="006A27E3" w:rsidP="006A2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305130" cy="1201479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583" cy="1201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27A5" w:rsidRDefault="002A27A5" w:rsidP="002A27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2" w:type="dxa"/>
          </w:tcPr>
          <w:p w:rsidR="002A27A5" w:rsidRDefault="006A27E3" w:rsidP="002A27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Undershoot</w:t>
            </w:r>
          </w:p>
        </w:tc>
      </w:tr>
      <w:tr w:rsidR="002A27A5" w:rsidTr="006A27E3">
        <w:tc>
          <w:tcPr>
            <w:tcW w:w="3798" w:type="dxa"/>
          </w:tcPr>
          <w:p w:rsidR="002A27A5" w:rsidRDefault="006A27E3" w:rsidP="002A27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Activation gates on v</w:t>
            </w:r>
            <w:r w:rsidR="002A27A5">
              <w:rPr>
                <w:rFonts w:ascii="Arial" w:hAnsi="Arial" w:cs="Arial"/>
                <w:sz w:val="20"/>
                <w:szCs w:val="20"/>
              </w:rPr>
              <w:t>oltage-gated Na+ channels open in</w:t>
            </w:r>
            <w:r>
              <w:rPr>
                <w:rFonts w:ascii="Arial" w:hAnsi="Arial" w:cs="Arial"/>
                <w:sz w:val="20"/>
                <w:szCs w:val="20"/>
              </w:rPr>
              <w:t xml:space="preserve"> response to depolarization and allow the influx of even more Na+ ions, creating a positive membrane potential.</w:t>
            </w:r>
            <w:r w:rsidR="002A27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926" w:type="dxa"/>
          </w:tcPr>
          <w:p w:rsidR="002A27A5" w:rsidRDefault="002A27A5" w:rsidP="002A27A5">
            <w:pPr>
              <w:rPr>
                <w:rFonts w:ascii="Arial" w:hAnsi="Arial" w:cs="Arial"/>
                <w:sz w:val="20"/>
                <w:szCs w:val="20"/>
              </w:rPr>
            </w:pPr>
            <w:r w:rsidRPr="002A27A5">
              <w:rPr>
                <w:rFonts w:ascii="Arial" w:hAnsi="Arial" w:cs="Arial"/>
                <w:sz w:val="20"/>
                <w:szCs w:val="20"/>
              </w:rPr>
              <w:drawing>
                <wp:inline distT="0" distB="0" distL="0" distR="0">
                  <wp:extent cx="2967134" cy="1158949"/>
                  <wp:effectExtent l="19050" t="0" r="4666" b="0"/>
                  <wp:docPr id="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8312" cy="11594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27A5" w:rsidRDefault="002A27A5" w:rsidP="002A27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2" w:type="dxa"/>
          </w:tcPr>
          <w:p w:rsidR="002A27A5" w:rsidRDefault="006A27E3" w:rsidP="002A27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Falling phase of the action potential </w:t>
            </w:r>
          </w:p>
        </w:tc>
      </w:tr>
      <w:tr w:rsidR="002A27A5" w:rsidTr="006A27E3">
        <w:tc>
          <w:tcPr>
            <w:tcW w:w="3798" w:type="dxa"/>
          </w:tcPr>
          <w:p w:rsidR="002A27A5" w:rsidRDefault="006A27E3" w:rsidP="002A27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Na+ inactivation gates close, preventing influx of Na+ ions.  K+ activation gates open, causing efflux (loss) of K+ ions from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cytosol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6A27E3" w:rsidRDefault="006A27E3" w:rsidP="002A27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Loss of positive charge causes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repolarization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of the neuron and causes the inside of the cell to again become negative in comparison to the outside of the cell.</w:t>
            </w:r>
          </w:p>
        </w:tc>
        <w:tc>
          <w:tcPr>
            <w:tcW w:w="4926" w:type="dxa"/>
          </w:tcPr>
          <w:p w:rsidR="002A27A5" w:rsidRDefault="00CD62E2" w:rsidP="00CD6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532764" cy="1299295"/>
                  <wp:effectExtent l="19050" t="0" r="886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2764" cy="1299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27A5" w:rsidRDefault="002A27A5" w:rsidP="002A27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2" w:type="dxa"/>
          </w:tcPr>
          <w:p w:rsidR="002A27A5" w:rsidRDefault="006A27E3" w:rsidP="002A27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Rising phase of the action potential </w:t>
            </w:r>
          </w:p>
        </w:tc>
      </w:tr>
      <w:tr w:rsidR="002A27A5" w:rsidTr="006A27E3">
        <w:tc>
          <w:tcPr>
            <w:tcW w:w="3798" w:type="dxa"/>
          </w:tcPr>
          <w:p w:rsidR="002A27A5" w:rsidRDefault="00CD62E2" w:rsidP="002A27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Both activation and inactivation gates on Na+ channels are closed.  </w:t>
            </w:r>
            <w:r w:rsidR="006A27E3">
              <w:rPr>
                <w:rFonts w:ascii="Arial" w:hAnsi="Arial" w:cs="Arial"/>
                <w:sz w:val="20"/>
                <w:szCs w:val="20"/>
              </w:rPr>
              <w:t xml:space="preserve">K+ </w:t>
            </w:r>
            <w:r>
              <w:rPr>
                <w:rFonts w:ascii="Arial" w:hAnsi="Arial" w:cs="Arial"/>
                <w:sz w:val="20"/>
                <w:szCs w:val="20"/>
              </w:rPr>
              <w:t>activation gates close SLOWLY</w:t>
            </w:r>
            <w:r w:rsidR="006A27E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This slow response causes the membrane potential to dip slightly below the resting potential.</w:t>
            </w:r>
            <w:r w:rsidR="006A27E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27E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Eventually the membrane returns to its resting state by the action of the sodium-potassium pump (Na+ / K+ pump), which pumps 3 Na + out and 2 K+ in using energy from ATP.  </w:t>
            </w:r>
          </w:p>
        </w:tc>
        <w:tc>
          <w:tcPr>
            <w:tcW w:w="4926" w:type="dxa"/>
          </w:tcPr>
          <w:p w:rsidR="002A27A5" w:rsidRDefault="006A27E3" w:rsidP="00CD6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27E3">
              <w:rPr>
                <w:rFonts w:ascii="Arial" w:hAnsi="Arial" w:cs="Arial"/>
                <w:sz w:val="20"/>
                <w:szCs w:val="20"/>
              </w:rPr>
              <w:drawing>
                <wp:inline distT="0" distB="0" distL="0" distR="0">
                  <wp:extent cx="2532129" cy="1239127"/>
                  <wp:effectExtent l="19050" t="0" r="1521" b="0"/>
                  <wp:docPr id="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9523" cy="1242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27A5" w:rsidRDefault="002A27A5" w:rsidP="002A27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2" w:type="dxa"/>
          </w:tcPr>
          <w:p w:rsidR="002A27A5" w:rsidRDefault="002A27A5" w:rsidP="002A27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Resting state</w:t>
            </w:r>
          </w:p>
        </w:tc>
      </w:tr>
    </w:tbl>
    <w:p w:rsidR="002A27A5" w:rsidRPr="002A27A5" w:rsidRDefault="002A27A5" w:rsidP="002A27A5">
      <w:pPr>
        <w:rPr>
          <w:rFonts w:ascii="Arial" w:hAnsi="Arial" w:cs="Arial"/>
          <w:sz w:val="20"/>
          <w:szCs w:val="20"/>
        </w:rPr>
      </w:pPr>
      <w:r w:rsidRPr="002A27A5"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CD62E2" w:rsidRDefault="00CD62E2" w:rsidP="00CD62E2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Name  and</w:t>
      </w:r>
      <w:proofErr w:type="gramEnd"/>
      <w:r>
        <w:rPr>
          <w:rFonts w:ascii="Arial" w:hAnsi="Arial" w:cs="Arial"/>
          <w:sz w:val="20"/>
          <w:szCs w:val="20"/>
        </w:rPr>
        <w:t xml:space="preserve"> number each step on the action potential graph shown below.  Use the names given in the right-hand column of the chart above.</w:t>
      </w:r>
    </w:p>
    <w:p w:rsidR="00CD62E2" w:rsidRDefault="00CD62E2" w:rsidP="00CD62E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709106" cy="1988288"/>
            <wp:effectExtent l="19050" t="0" r="5644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7769" cy="1987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2E2" w:rsidRDefault="003D6C48" w:rsidP="003D6C48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4558665</wp:posOffset>
            </wp:positionH>
            <wp:positionV relativeFrom="margin">
              <wp:posOffset>2902585</wp:posOffset>
            </wp:positionV>
            <wp:extent cx="2360930" cy="4720590"/>
            <wp:effectExtent l="19050" t="0" r="1270" b="0"/>
            <wp:wrapSquare wrapText="bothSides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4720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0"/>
          <w:szCs w:val="20"/>
        </w:rPr>
        <w:t>In your own words, describe what is occurring at each step of action potential movement along the axon in the image to the right.</w:t>
      </w:r>
      <w:r w:rsidRPr="003D6C48">
        <w:rPr>
          <w:rFonts w:ascii="Arial" w:hAnsi="Arial" w:cs="Arial"/>
          <w:sz w:val="20"/>
          <w:szCs w:val="20"/>
        </w:rPr>
        <w:t xml:space="preserve"> </w:t>
      </w:r>
    </w:p>
    <w:p w:rsidR="003D6C48" w:rsidRDefault="003D6C48" w:rsidP="003D6C48">
      <w:pPr>
        <w:rPr>
          <w:rFonts w:ascii="Arial" w:hAnsi="Arial" w:cs="Arial"/>
          <w:sz w:val="20"/>
          <w:szCs w:val="20"/>
        </w:rPr>
      </w:pPr>
    </w:p>
    <w:p w:rsidR="003D6C48" w:rsidRDefault="003D6C48" w:rsidP="003D6C48">
      <w:pPr>
        <w:spacing w:after="0"/>
        <w:ind w:left="720"/>
        <w:rPr>
          <w:rFonts w:ascii="Arial" w:hAnsi="Arial" w:cs="Arial"/>
          <w:sz w:val="20"/>
          <w:szCs w:val="20"/>
        </w:rPr>
      </w:pPr>
      <w:r w:rsidRPr="003D6C48">
        <w:rPr>
          <w:rFonts w:ascii="Arial" w:hAnsi="Arial" w:cs="Arial"/>
          <w:b/>
          <w:i/>
          <w:sz w:val="20"/>
          <w:szCs w:val="20"/>
        </w:rPr>
        <w:t>Step 1:</w:t>
      </w:r>
      <w:r>
        <w:rPr>
          <w:rFonts w:ascii="Arial" w:hAnsi="Arial" w:cs="Arial"/>
          <w:sz w:val="20"/>
          <w:szCs w:val="20"/>
        </w:rPr>
        <w:t xml:space="preserve"> _________________________________________________</w:t>
      </w:r>
    </w:p>
    <w:p w:rsidR="003D6C48" w:rsidRDefault="003D6C48" w:rsidP="003D6C48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</w:t>
      </w:r>
    </w:p>
    <w:p w:rsidR="003D6C48" w:rsidRDefault="003D6C48" w:rsidP="003D6C48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3D6C48" w:rsidRDefault="003D6C48" w:rsidP="003D6C48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3D6C48" w:rsidRDefault="003D6C48" w:rsidP="003D6C48">
      <w:pPr>
        <w:spacing w:after="0"/>
        <w:ind w:left="720"/>
        <w:rPr>
          <w:rFonts w:ascii="Arial" w:hAnsi="Arial" w:cs="Arial"/>
          <w:sz w:val="20"/>
          <w:szCs w:val="20"/>
        </w:rPr>
      </w:pPr>
      <w:r w:rsidRPr="003D6C48">
        <w:rPr>
          <w:rFonts w:ascii="Arial" w:hAnsi="Arial" w:cs="Arial"/>
          <w:b/>
          <w:i/>
          <w:sz w:val="20"/>
          <w:szCs w:val="20"/>
        </w:rPr>
        <w:t>Step 2</w:t>
      </w:r>
      <w:r>
        <w:rPr>
          <w:rFonts w:ascii="Arial" w:hAnsi="Arial" w:cs="Arial"/>
          <w:sz w:val="20"/>
          <w:szCs w:val="20"/>
        </w:rPr>
        <w:t>: _________________________________________________</w:t>
      </w:r>
    </w:p>
    <w:p w:rsidR="003D6C48" w:rsidRDefault="003D6C48" w:rsidP="003D6C48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</w:t>
      </w:r>
    </w:p>
    <w:p w:rsidR="003D6C48" w:rsidRDefault="003D6C48" w:rsidP="003D6C48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3D6C48" w:rsidRDefault="003D6C48" w:rsidP="003D6C48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3D6C48" w:rsidRDefault="003D6C48" w:rsidP="003D6C48">
      <w:pPr>
        <w:spacing w:after="0"/>
        <w:ind w:left="720"/>
        <w:rPr>
          <w:rFonts w:ascii="Arial" w:hAnsi="Arial" w:cs="Arial"/>
          <w:sz w:val="20"/>
          <w:szCs w:val="20"/>
        </w:rPr>
      </w:pPr>
      <w:r w:rsidRPr="003D6C48">
        <w:rPr>
          <w:rFonts w:ascii="Arial" w:hAnsi="Arial" w:cs="Arial"/>
          <w:b/>
          <w:i/>
          <w:sz w:val="20"/>
          <w:szCs w:val="20"/>
        </w:rPr>
        <w:t>Step 3:</w:t>
      </w:r>
      <w:r>
        <w:rPr>
          <w:rFonts w:ascii="Arial" w:hAnsi="Arial" w:cs="Arial"/>
          <w:sz w:val="20"/>
          <w:szCs w:val="20"/>
        </w:rPr>
        <w:t xml:space="preserve"> _________________________________________________</w:t>
      </w:r>
    </w:p>
    <w:p w:rsidR="003D6C48" w:rsidRDefault="003D6C48" w:rsidP="003D6C48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</w:t>
      </w:r>
    </w:p>
    <w:p w:rsidR="00190E77" w:rsidRDefault="00190E77" w:rsidP="00190E77">
      <w:pPr>
        <w:spacing w:after="0"/>
        <w:rPr>
          <w:rFonts w:ascii="Arial" w:hAnsi="Arial" w:cs="Arial"/>
          <w:sz w:val="20"/>
          <w:szCs w:val="20"/>
        </w:rPr>
      </w:pPr>
    </w:p>
    <w:p w:rsidR="00190E77" w:rsidRDefault="00190E77" w:rsidP="00190E77">
      <w:pPr>
        <w:spacing w:after="0"/>
        <w:rPr>
          <w:rFonts w:ascii="Arial" w:hAnsi="Arial" w:cs="Arial"/>
          <w:sz w:val="20"/>
          <w:szCs w:val="20"/>
        </w:rPr>
      </w:pPr>
    </w:p>
    <w:p w:rsidR="00190E77" w:rsidRDefault="00190E77" w:rsidP="00190E7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can’t another action potential be created right away in the same neuron?  Use the term refractory period in your answer.</w:t>
      </w:r>
    </w:p>
    <w:p w:rsidR="00190E77" w:rsidRDefault="00190E77" w:rsidP="00190E77">
      <w:pPr>
        <w:spacing w:after="0"/>
        <w:rPr>
          <w:rFonts w:ascii="Arial" w:hAnsi="Arial" w:cs="Arial"/>
          <w:sz w:val="20"/>
          <w:szCs w:val="20"/>
        </w:rPr>
      </w:pPr>
    </w:p>
    <w:p w:rsidR="00190E77" w:rsidRPr="00190E77" w:rsidRDefault="00190E77" w:rsidP="00190E77">
      <w:pPr>
        <w:spacing w:after="0"/>
        <w:rPr>
          <w:rFonts w:ascii="Arial" w:hAnsi="Arial" w:cs="Arial"/>
          <w:sz w:val="20"/>
          <w:szCs w:val="20"/>
        </w:rPr>
      </w:pPr>
    </w:p>
    <w:p w:rsidR="00190E77" w:rsidRDefault="00190E77" w:rsidP="00190E7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do the Schwann cells improve the efficiency of action potential movement down the axon?  Use the terms myelin sheath, node of </w:t>
      </w:r>
      <w:proofErr w:type="spellStart"/>
      <w:r>
        <w:rPr>
          <w:rFonts w:ascii="Arial" w:hAnsi="Arial" w:cs="Arial"/>
          <w:sz w:val="20"/>
          <w:szCs w:val="20"/>
        </w:rPr>
        <w:t>Ranvier</w:t>
      </w:r>
      <w:proofErr w:type="spellEnd"/>
      <w:r>
        <w:rPr>
          <w:rFonts w:ascii="Arial" w:hAnsi="Arial" w:cs="Arial"/>
          <w:sz w:val="20"/>
          <w:szCs w:val="20"/>
        </w:rPr>
        <w:t xml:space="preserve">, and salutatory conduction in your answer.  </w:t>
      </w:r>
    </w:p>
    <w:p w:rsidR="00190E77" w:rsidRDefault="00190E77" w:rsidP="00190E77">
      <w:pPr>
        <w:spacing w:after="0"/>
        <w:rPr>
          <w:rFonts w:ascii="Arial" w:hAnsi="Arial" w:cs="Arial"/>
          <w:sz w:val="20"/>
          <w:szCs w:val="20"/>
        </w:rPr>
      </w:pPr>
    </w:p>
    <w:p w:rsidR="00190E77" w:rsidRPr="00190E77" w:rsidRDefault="00190E77" w:rsidP="00190E77">
      <w:pPr>
        <w:spacing w:after="0"/>
        <w:rPr>
          <w:rFonts w:ascii="Arial" w:hAnsi="Arial" w:cs="Arial"/>
          <w:sz w:val="20"/>
          <w:szCs w:val="20"/>
        </w:rPr>
      </w:pPr>
    </w:p>
    <w:p w:rsidR="00190E77" w:rsidRDefault="00190E77" w:rsidP="00190E77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Communication between Neurons</w:t>
      </w:r>
    </w:p>
    <w:p w:rsidR="00190E77" w:rsidRDefault="00190E77" w:rsidP="00190E77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:rsidR="00190E77" w:rsidRDefault="00190E77" w:rsidP="00190E7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difference between an electrical synapse and a chemical synapse?</w:t>
      </w:r>
    </w:p>
    <w:p w:rsidR="00190E77" w:rsidRPr="00190E77" w:rsidRDefault="00190E77" w:rsidP="00190E77">
      <w:pPr>
        <w:spacing w:after="0"/>
        <w:rPr>
          <w:rFonts w:ascii="Arial" w:hAnsi="Arial" w:cs="Arial"/>
          <w:sz w:val="20"/>
          <w:szCs w:val="20"/>
        </w:rPr>
      </w:pPr>
    </w:p>
    <w:p w:rsidR="00190E77" w:rsidRDefault="00B46595" w:rsidP="00190E7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Order the events inv</w:t>
      </w:r>
      <w:r w:rsidR="00444F8D">
        <w:rPr>
          <w:rFonts w:ascii="Arial" w:hAnsi="Arial" w:cs="Arial"/>
          <w:sz w:val="20"/>
          <w:szCs w:val="20"/>
        </w:rPr>
        <w:t>olved in synaptic transmission in the proper sequence (#1-7)</w:t>
      </w:r>
    </w:p>
    <w:p w:rsidR="00444F8D" w:rsidRDefault="00444F8D" w:rsidP="00444F8D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444F8D">
        <w:rPr>
          <w:rFonts w:ascii="Arial" w:hAnsi="Arial" w:cs="Arial"/>
          <w:sz w:val="20"/>
          <w:szCs w:val="20"/>
        </w:rPr>
        <w:t>_____</w:t>
      </w:r>
      <w:proofErr w:type="spellStart"/>
      <w:r w:rsidRPr="00444F8D">
        <w:rPr>
          <w:rFonts w:ascii="Arial" w:hAnsi="Arial" w:cs="Arial"/>
          <w:sz w:val="20"/>
          <w:szCs w:val="20"/>
        </w:rPr>
        <w:t>Ligand</w:t>
      </w:r>
      <w:proofErr w:type="spellEnd"/>
      <w:r w:rsidRPr="00444F8D">
        <w:rPr>
          <w:rFonts w:ascii="Arial" w:hAnsi="Arial" w:cs="Arial"/>
          <w:sz w:val="20"/>
          <w:szCs w:val="20"/>
        </w:rPr>
        <w:t>-gated ion channels on the post-synaptic membrane open in response to binding of calcium ions and allow Na+ to enter the cell, triggering depolarization / action potential in the post-synaptic cell</w:t>
      </w:r>
    </w:p>
    <w:p w:rsidR="00444F8D" w:rsidRDefault="00444F8D" w:rsidP="00444F8D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_____The action potential signal depolarizes the axon terminal membrane and opens voltage-gated calcium (Ca</w:t>
      </w:r>
      <w:r>
        <w:rPr>
          <w:rFonts w:ascii="Arial" w:hAnsi="Arial" w:cs="Arial"/>
          <w:sz w:val="20"/>
          <w:szCs w:val="20"/>
          <w:vertAlign w:val="superscript"/>
        </w:rPr>
        <w:t>2+</w:t>
      </w:r>
      <w:r>
        <w:rPr>
          <w:rFonts w:ascii="Arial" w:hAnsi="Arial" w:cs="Arial"/>
          <w:sz w:val="20"/>
          <w:szCs w:val="20"/>
        </w:rPr>
        <w:t>) ion channels</w:t>
      </w:r>
    </w:p>
    <w:p w:rsidR="00444F8D" w:rsidRDefault="00444F8D" w:rsidP="00444F8D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_____Synaptic transmission ends when the neurotransmitter diffuses out of the synaptic cleft, is reabsorbed by the pre-synaptic cell, or is degraded by enzymes in the synaptic cleft</w:t>
      </w:r>
    </w:p>
    <w:p w:rsidR="00444F8D" w:rsidRDefault="00444F8D" w:rsidP="00444F8D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_____Calcium ions rush into the axon terminal and are packaged in synaptic vesicles</w:t>
      </w:r>
    </w:p>
    <w:p w:rsidR="00444F8D" w:rsidRDefault="00444F8D" w:rsidP="00444F8D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_____Synaptic vesicles fuse with the axon terminal membrane and release calcium ions (the neurotransmitter) into the synaptic cleft.</w:t>
      </w:r>
    </w:p>
    <w:p w:rsidR="00444F8D" w:rsidRDefault="00444F8D" w:rsidP="00444F8D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_____Calcium ions diffuse across the synaptic cleft and bind to </w:t>
      </w:r>
      <w:proofErr w:type="spellStart"/>
      <w:r>
        <w:rPr>
          <w:rFonts w:ascii="Arial" w:hAnsi="Arial" w:cs="Arial"/>
          <w:sz w:val="20"/>
          <w:szCs w:val="20"/>
        </w:rPr>
        <w:t>ligand</w:t>
      </w:r>
      <w:proofErr w:type="spellEnd"/>
      <w:r>
        <w:rPr>
          <w:rFonts w:ascii="Arial" w:hAnsi="Arial" w:cs="Arial"/>
          <w:sz w:val="20"/>
          <w:szCs w:val="20"/>
        </w:rPr>
        <w:t xml:space="preserve">-gated ion channels on the post-synaptic membrane (dendrite membrane) </w:t>
      </w:r>
    </w:p>
    <w:p w:rsidR="00444F8D" w:rsidRDefault="00444F8D" w:rsidP="00444F8D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_____The axon terminal of the pre-synaptic neuron receives an action potential signal </w:t>
      </w:r>
    </w:p>
    <w:p w:rsidR="00145372" w:rsidRDefault="00145372" w:rsidP="00145372">
      <w:pPr>
        <w:spacing w:after="0"/>
        <w:rPr>
          <w:rFonts w:ascii="Arial" w:hAnsi="Arial" w:cs="Arial"/>
          <w:sz w:val="20"/>
          <w:szCs w:val="20"/>
        </w:rPr>
      </w:pPr>
    </w:p>
    <w:p w:rsidR="00145372" w:rsidRDefault="00145372" w:rsidP="0014537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Label the following structures / molecules on the synapse image given below: voltage-gated calcium channels, synaptic vesicles, axon terminal, post-synaptic membrane, calcium ion in synaptic cleft, </w:t>
      </w:r>
      <w:proofErr w:type="spellStart"/>
      <w:r>
        <w:rPr>
          <w:rFonts w:ascii="Arial" w:hAnsi="Arial" w:cs="Arial"/>
          <w:sz w:val="20"/>
          <w:szCs w:val="20"/>
        </w:rPr>
        <w:t>ligand</w:t>
      </w:r>
      <w:proofErr w:type="spellEnd"/>
      <w:r>
        <w:rPr>
          <w:rFonts w:ascii="Arial" w:hAnsi="Arial" w:cs="Arial"/>
          <w:sz w:val="20"/>
          <w:szCs w:val="20"/>
        </w:rPr>
        <w:t xml:space="preserve">-gated ion channel </w:t>
      </w:r>
    </w:p>
    <w:p w:rsidR="00145372" w:rsidRPr="00145372" w:rsidRDefault="00145372" w:rsidP="00145372">
      <w:pPr>
        <w:pStyle w:val="ListParagraph"/>
        <w:spacing w:after="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***Ignore the letters and numbers given on the image***</w:t>
      </w:r>
    </w:p>
    <w:p w:rsidR="00145372" w:rsidRPr="00145372" w:rsidRDefault="00145372" w:rsidP="00145372">
      <w:pPr>
        <w:spacing w:after="0"/>
        <w:ind w:left="36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3379263" cy="2851006"/>
            <wp:effectExtent l="19050" t="0" r="0" b="0"/>
            <wp:docPr id="31" name="irc_mi" descr="http://wps.aw.com/wps/media/tmp/labeling/2807761_dy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ps.aw.com/wps/media/tmp/labeling/2807761_dyn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0951" cy="2852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F8D" w:rsidRDefault="00444F8D" w:rsidP="00444F8D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444F8D" w:rsidRDefault="00145372" w:rsidP="0014537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difference between excitatory postsynaptic potentials (EPSPs) and inhibitory postsynaptic potentials (IPSPs)?</w:t>
      </w:r>
    </w:p>
    <w:p w:rsidR="00145372" w:rsidRPr="00145372" w:rsidRDefault="00145372" w:rsidP="00145372">
      <w:pPr>
        <w:spacing w:after="0"/>
        <w:rPr>
          <w:rFonts w:ascii="Arial" w:hAnsi="Arial" w:cs="Arial"/>
          <w:sz w:val="20"/>
          <w:szCs w:val="20"/>
        </w:rPr>
      </w:pPr>
    </w:p>
    <w:p w:rsidR="00145372" w:rsidRDefault="00145372" w:rsidP="0014537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Discuss the role of the acetylcholine neurotransmitter in the human body.  What types of cells serve as </w:t>
      </w:r>
      <w:proofErr w:type="spellStart"/>
      <w:r>
        <w:rPr>
          <w:rFonts w:ascii="Arial" w:hAnsi="Arial" w:cs="Arial"/>
          <w:sz w:val="20"/>
          <w:szCs w:val="20"/>
        </w:rPr>
        <w:t>acetylcholine’s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presynaptic</w:t>
      </w:r>
      <w:proofErr w:type="spellEnd"/>
      <w:r>
        <w:rPr>
          <w:rFonts w:ascii="Arial" w:hAnsi="Arial" w:cs="Arial"/>
          <w:sz w:val="20"/>
          <w:szCs w:val="20"/>
        </w:rPr>
        <w:t xml:space="preserve"> and postsynaptic cells?</w:t>
      </w:r>
    </w:p>
    <w:p w:rsidR="00145372" w:rsidRPr="00145372" w:rsidRDefault="00145372" w:rsidP="00145372">
      <w:pPr>
        <w:pStyle w:val="ListParagraph"/>
        <w:rPr>
          <w:rFonts w:ascii="Arial" w:hAnsi="Arial" w:cs="Arial"/>
          <w:sz w:val="20"/>
          <w:szCs w:val="20"/>
        </w:rPr>
      </w:pPr>
    </w:p>
    <w:p w:rsidR="00145372" w:rsidRDefault="00145372" w:rsidP="0014537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Certain types of snake venom can block the active site on </w:t>
      </w:r>
      <w:proofErr w:type="spellStart"/>
      <w:r>
        <w:rPr>
          <w:rFonts w:ascii="Arial" w:hAnsi="Arial" w:cs="Arial"/>
          <w:sz w:val="20"/>
          <w:szCs w:val="20"/>
        </w:rPr>
        <w:t>acetylcholinesterase</w:t>
      </w:r>
      <w:proofErr w:type="spellEnd"/>
      <w:r>
        <w:rPr>
          <w:rFonts w:ascii="Arial" w:hAnsi="Arial" w:cs="Arial"/>
          <w:sz w:val="20"/>
          <w:szCs w:val="20"/>
        </w:rPr>
        <w:t xml:space="preserve">, an enzyme found in the synaptic cleft that breaks </w:t>
      </w:r>
      <w:r w:rsidR="00FB1F5D">
        <w:rPr>
          <w:rFonts w:ascii="Arial" w:hAnsi="Arial" w:cs="Arial"/>
          <w:sz w:val="20"/>
          <w:szCs w:val="20"/>
        </w:rPr>
        <w:t>down acetylcholine.  If acetylcholine cannot be broken down, what effects might occur in the human body?</w:t>
      </w:r>
    </w:p>
    <w:p w:rsidR="00FB1F5D" w:rsidRPr="00FB1F5D" w:rsidRDefault="00FB1F5D" w:rsidP="00FB1F5D">
      <w:pPr>
        <w:pStyle w:val="ListParagraph"/>
        <w:rPr>
          <w:rFonts w:ascii="Arial" w:hAnsi="Arial" w:cs="Arial"/>
          <w:sz w:val="20"/>
          <w:szCs w:val="20"/>
        </w:rPr>
      </w:pPr>
    </w:p>
    <w:p w:rsidR="00FB1F5D" w:rsidRPr="00FB1F5D" w:rsidRDefault="00FB1F5D" w:rsidP="00FB1F5D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Organization of the Nervous System (continued) </w:t>
      </w:r>
    </w:p>
    <w:p w:rsidR="00FB1F5D" w:rsidRPr="00FB1F5D" w:rsidRDefault="00FB1F5D" w:rsidP="00FB1F5D">
      <w:pPr>
        <w:pStyle w:val="ListParagraph"/>
        <w:rPr>
          <w:rFonts w:ascii="Arial" w:hAnsi="Arial" w:cs="Arial"/>
          <w:sz w:val="20"/>
          <w:szCs w:val="20"/>
        </w:rPr>
      </w:pPr>
    </w:p>
    <w:p w:rsidR="00FB1F5D" w:rsidRDefault="00FB1F5D" w:rsidP="0014537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Within the peripheral nervous system, there are two divisions – the somatic nervous system and the autonomic nervous system.  What is the difference between these two divisions?</w:t>
      </w:r>
    </w:p>
    <w:p w:rsidR="00FB1F5D" w:rsidRPr="00FB1F5D" w:rsidRDefault="00FB1F5D" w:rsidP="00FB1F5D">
      <w:pPr>
        <w:pStyle w:val="ListParagraph"/>
        <w:rPr>
          <w:rFonts w:ascii="Arial" w:hAnsi="Arial" w:cs="Arial"/>
          <w:sz w:val="20"/>
          <w:szCs w:val="20"/>
        </w:rPr>
      </w:pPr>
    </w:p>
    <w:p w:rsidR="00FB1F5D" w:rsidRDefault="00FB1F5D" w:rsidP="00FB1F5D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Within the autonomic nervous system, there are two main divisions – the sympathetic division and the parasympathetic division.  Describe the basic role of each division.</w:t>
      </w:r>
    </w:p>
    <w:p w:rsidR="00FB1F5D" w:rsidRPr="00FB1F5D" w:rsidRDefault="00FB1F5D" w:rsidP="00FB1F5D">
      <w:pPr>
        <w:pStyle w:val="ListParagraph"/>
        <w:rPr>
          <w:rFonts w:ascii="Arial" w:hAnsi="Arial" w:cs="Arial"/>
          <w:sz w:val="20"/>
          <w:szCs w:val="20"/>
        </w:rPr>
      </w:pPr>
    </w:p>
    <w:p w:rsidR="00FB1F5D" w:rsidRDefault="00FB1F5D" w:rsidP="00FB1F5D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concept map showing the breakdown of the central and peripheral nervous systems is given on the next page. </w:t>
      </w:r>
    </w:p>
    <w:p w:rsidR="00FB1F5D" w:rsidRPr="00FB1F5D" w:rsidRDefault="00FB1F5D" w:rsidP="00FB1F5D">
      <w:pPr>
        <w:pStyle w:val="ListParagraph"/>
        <w:rPr>
          <w:rFonts w:ascii="Arial" w:hAnsi="Arial" w:cs="Arial"/>
          <w:sz w:val="20"/>
          <w:szCs w:val="20"/>
        </w:rPr>
      </w:pPr>
    </w:p>
    <w:p w:rsidR="00FB1F5D" w:rsidRDefault="00FB1F5D" w:rsidP="00FB1F5D">
      <w:pPr>
        <w:spacing w:after="0"/>
        <w:ind w:left="36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>
            <wp:extent cx="5063313" cy="3635137"/>
            <wp:effectExtent l="19050" t="0" r="3987" b="0"/>
            <wp:docPr id="34" name="irc_mi" descr="http://bio217nervoussystem.wikispaces.com/file/view/ab.png/272289258/800x574/a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io217nervoussystem.wikispaces.com/file/view/ab.png/272289258/800x574/ab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2782" cy="3634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1F5D" w:rsidRDefault="00FB1F5D" w:rsidP="00FB1F5D">
      <w:pPr>
        <w:spacing w:after="0"/>
        <w:ind w:left="360"/>
        <w:jc w:val="center"/>
        <w:rPr>
          <w:rFonts w:ascii="Arial" w:hAnsi="Arial" w:cs="Arial"/>
          <w:sz w:val="20"/>
          <w:szCs w:val="20"/>
        </w:rPr>
      </w:pPr>
    </w:p>
    <w:p w:rsidR="00FB1F5D" w:rsidRDefault="00FB1F5D" w:rsidP="00FB1F5D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FB1F5D">
        <w:rPr>
          <w:rFonts w:ascii="Arial" w:hAnsi="Arial" w:cs="Arial"/>
          <w:b/>
          <w:i/>
          <w:sz w:val="20"/>
          <w:szCs w:val="20"/>
        </w:rPr>
        <w:t>The Central Nervous System</w:t>
      </w:r>
      <w:r>
        <w:rPr>
          <w:rFonts w:ascii="Arial" w:hAnsi="Arial" w:cs="Arial"/>
          <w:sz w:val="20"/>
          <w:szCs w:val="20"/>
        </w:rPr>
        <w:t>: fill in the names of all structures desc</w:t>
      </w:r>
      <w:r w:rsidR="00793766">
        <w:rPr>
          <w:rFonts w:ascii="Arial" w:hAnsi="Arial" w:cs="Arial"/>
          <w:sz w:val="20"/>
          <w:szCs w:val="20"/>
        </w:rPr>
        <w:t xml:space="preserve">ribed in the outline below using the terms provided in the </w:t>
      </w:r>
      <w:proofErr w:type="spellStart"/>
      <w:r w:rsidR="00793766">
        <w:rPr>
          <w:rFonts w:ascii="Arial" w:hAnsi="Arial" w:cs="Arial"/>
          <w:sz w:val="20"/>
          <w:szCs w:val="20"/>
        </w:rPr>
        <w:t>word</w:t>
      </w:r>
      <w:proofErr w:type="spellEnd"/>
      <w:r w:rsidR="00793766">
        <w:rPr>
          <w:rFonts w:ascii="Arial" w:hAnsi="Arial" w:cs="Arial"/>
          <w:sz w:val="20"/>
          <w:szCs w:val="20"/>
        </w:rPr>
        <w:t xml:space="preserve"> bank.</w:t>
      </w:r>
    </w:p>
    <w:p w:rsidR="00793766" w:rsidRDefault="00793766" w:rsidP="00793766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088"/>
        <w:gridCol w:w="2520"/>
        <w:gridCol w:w="2520"/>
      </w:tblGrid>
      <w:tr w:rsidR="00793766" w:rsidTr="00793766">
        <w:trPr>
          <w:jc w:val="center"/>
        </w:trPr>
        <w:tc>
          <w:tcPr>
            <w:tcW w:w="2088" w:type="dxa"/>
          </w:tcPr>
          <w:p w:rsidR="00793766" w:rsidRDefault="00793766" w:rsidP="007937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Parietal Lobe</w:t>
            </w:r>
          </w:p>
        </w:tc>
        <w:tc>
          <w:tcPr>
            <w:tcW w:w="2520" w:type="dxa"/>
          </w:tcPr>
          <w:p w:rsidR="00793766" w:rsidRDefault="00793766" w:rsidP="007937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Medulla oblongata</w:t>
            </w:r>
          </w:p>
        </w:tc>
        <w:tc>
          <w:tcPr>
            <w:tcW w:w="2520" w:type="dxa"/>
          </w:tcPr>
          <w:p w:rsidR="00793766" w:rsidRDefault="00793766" w:rsidP="007937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Motor Cortex</w:t>
            </w:r>
          </w:p>
        </w:tc>
      </w:tr>
      <w:tr w:rsidR="00793766" w:rsidTr="00793766">
        <w:trPr>
          <w:jc w:val="center"/>
        </w:trPr>
        <w:tc>
          <w:tcPr>
            <w:tcW w:w="2088" w:type="dxa"/>
          </w:tcPr>
          <w:p w:rsidR="00793766" w:rsidRDefault="00793766" w:rsidP="007937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Occipital Lobe</w:t>
            </w:r>
          </w:p>
        </w:tc>
        <w:tc>
          <w:tcPr>
            <w:tcW w:w="2520" w:type="dxa"/>
          </w:tcPr>
          <w:p w:rsidR="00793766" w:rsidRDefault="00793766" w:rsidP="007937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Cerebral cortex</w:t>
            </w:r>
          </w:p>
        </w:tc>
        <w:tc>
          <w:tcPr>
            <w:tcW w:w="2520" w:type="dxa"/>
          </w:tcPr>
          <w:p w:rsidR="00793766" w:rsidRDefault="00793766" w:rsidP="007937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Pons</w:t>
            </w:r>
          </w:p>
        </w:tc>
      </w:tr>
      <w:tr w:rsidR="00793766" w:rsidTr="00793766">
        <w:trPr>
          <w:jc w:val="center"/>
        </w:trPr>
        <w:tc>
          <w:tcPr>
            <w:tcW w:w="2088" w:type="dxa"/>
          </w:tcPr>
          <w:p w:rsidR="00793766" w:rsidRDefault="00793766" w:rsidP="007937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Frontal Lobe</w:t>
            </w:r>
          </w:p>
        </w:tc>
        <w:tc>
          <w:tcPr>
            <w:tcW w:w="2520" w:type="dxa"/>
          </w:tcPr>
          <w:p w:rsidR="00793766" w:rsidRDefault="00793766" w:rsidP="007937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Cerebellum</w:t>
            </w:r>
          </w:p>
        </w:tc>
        <w:tc>
          <w:tcPr>
            <w:tcW w:w="2520" w:type="dxa"/>
          </w:tcPr>
          <w:p w:rsidR="00793766" w:rsidRDefault="00793766" w:rsidP="0079376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Somatosensory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Cortex</w:t>
            </w:r>
          </w:p>
        </w:tc>
      </w:tr>
      <w:tr w:rsidR="00793766" w:rsidTr="00793766">
        <w:trPr>
          <w:jc w:val="center"/>
        </w:trPr>
        <w:tc>
          <w:tcPr>
            <w:tcW w:w="2088" w:type="dxa"/>
          </w:tcPr>
          <w:p w:rsidR="00793766" w:rsidRDefault="00793766" w:rsidP="007937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Temporal Lobe</w:t>
            </w:r>
          </w:p>
        </w:tc>
        <w:tc>
          <w:tcPr>
            <w:tcW w:w="2520" w:type="dxa"/>
          </w:tcPr>
          <w:p w:rsidR="00793766" w:rsidRDefault="00793766" w:rsidP="007937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Corpus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Callosum</w:t>
            </w:r>
            <w:proofErr w:type="spellEnd"/>
          </w:p>
        </w:tc>
        <w:tc>
          <w:tcPr>
            <w:tcW w:w="2520" w:type="dxa"/>
          </w:tcPr>
          <w:p w:rsidR="00793766" w:rsidRDefault="00793766" w:rsidP="0079376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Lymbic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System</w:t>
            </w:r>
          </w:p>
        </w:tc>
      </w:tr>
    </w:tbl>
    <w:p w:rsidR="00FB1F5D" w:rsidRPr="00793766" w:rsidRDefault="00FB1F5D" w:rsidP="00793766">
      <w:pPr>
        <w:spacing w:after="0"/>
        <w:rPr>
          <w:rFonts w:ascii="Arial" w:hAnsi="Arial" w:cs="Arial"/>
          <w:sz w:val="20"/>
          <w:szCs w:val="20"/>
        </w:rPr>
      </w:pPr>
    </w:p>
    <w:p w:rsidR="00FB1F5D" w:rsidRDefault="00FB1F5D" w:rsidP="00FB1F5D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793766">
        <w:rPr>
          <w:rFonts w:ascii="Arial" w:hAnsi="Arial" w:cs="Arial"/>
          <w:b/>
          <w:sz w:val="20"/>
          <w:szCs w:val="20"/>
        </w:rPr>
        <w:t>Spinal Cord:</w:t>
      </w:r>
      <w:r>
        <w:rPr>
          <w:rFonts w:ascii="Arial" w:hAnsi="Arial" w:cs="Arial"/>
          <w:sz w:val="20"/>
          <w:szCs w:val="20"/>
        </w:rPr>
        <w:t xml:space="preserve"> Receives information from the skin and muscles and sends out motor commands for movement</w:t>
      </w:r>
    </w:p>
    <w:p w:rsidR="00FB1F5D" w:rsidRDefault="00FB1F5D" w:rsidP="00FB1F5D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B1F5D" w:rsidRDefault="00FB1F5D" w:rsidP="00FB1F5D">
      <w:pPr>
        <w:pStyle w:val="ListParagraph"/>
        <w:spacing w:after="0"/>
        <w:rPr>
          <w:rFonts w:ascii="Arial" w:hAnsi="Arial" w:cs="Arial"/>
          <w:i/>
          <w:sz w:val="20"/>
          <w:szCs w:val="20"/>
        </w:rPr>
      </w:pPr>
      <w:r w:rsidRPr="00793766">
        <w:rPr>
          <w:rFonts w:ascii="Arial" w:hAnsi="Arial" w:cs="Arial"/>
          <w:b/>
          <w:sz w:val="20"/>
          <w:szCs w:val="20"/>
        </w:rPr>
        <w:t>Brain:</w:t>
      </w:r>
      <w:r w:rsidR="006D6EFE">
        <w:rPr>
          <w:rFonts w:ascii="Arial" w:hAnsi="Arial" w:cs="Arial"/>
          <w:sz w:val="20"/>
          <w:szCs w:val="20"/>
        </w:rPr>
        <w:t xml:space="preserve"> </w:t>
      </w:r>
      <w:r w:rsidR="006D6EFE">
        <w:rPr>
          <w:rFonts w:ascii="Arial" w:hAnsi="Arial" w:cs="Arial"/>
          <w:i/>
          <w:sz w:val="20"/>
          <w:szCs w:val="20"/>
        </w:rPr>
        <w:t>There are three parts to the adult human brain – the hindbrain, midbrain, and forebrain.  We will concentrate on the hindbrain and forebrain.</w:t>
      </w:r>
    </w:p>
    <w:p w:rsidR="006D6EFE" w:rsidRPr="006D6EFE" w:rsidRDefault="006D6EFE" w:rsidP="00FB1F5D">
      <w:pPr>
        <w:pStyle w:val="ListParagraph"/>
        <w:spacing w:after="0"/>
        <w:rPr>
          <w:rFonts w:ascii="Arial" w:hAnsi="Arial" w:cs="Arial"/>
          <w:i/>
          <w:sz w:val="20"/>
          <w:szCs w:val="20"/>
        </w:rPr>
      </w:pPr>
    </w:p>
    <w:p w:rsidR="00FB1F5D" w:rsidRPr="00793766" w:rsidRDefault="00FB1F5D" w:rsidP="00FB1F5D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b/>
          <w:sz w:val="20"/>
          <w:szCs w:val="20"/>
        </w:rPr>
      </w:pPr>
      <w:r w:rsidRPr="00793766">
        <w:rPr>
          <w:rFonts w:ascii="Arial" w:hAnsi="Arial" w:cs="Arial"/>
          <w:b/>
          <w:sz w:val="20"/>
          <w:szCs w:val="20"/>
        </w:rPr>
        <w:t>The Hindbrain</w:t>
      </w:r>
    </w:p>
    <w:p w:rsidR="00FB1F5D" w:rsidRDefault="00FB1F5D" w:rsidP="00FB1F5D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_____________________: Controls the autonomic nervous system</w:t>
      </w:r>
    </w:p>
    <w:p w:rsidR="00FB1F5D" w:rsidRDefault="00FB1F5D" w:rsidP="00FB1F5D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____________: Assists the medulla in its activities, especially breathing</w:t>
      </w:r>
    </w:p>
    <w:p w:rsidR="00FB1F5D" w:rsidRDefault="006D6EFE" w:rsidP="00FB1F5D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_____________________: Coordinates movement and balance</w:t>
      </w:r>
    </w:p>
    <w:p w:rsidR="006D6EFE" w:rsidRDefault="006D6EFE" w:rsidP="006D6EFE">
      <w:pPr>
        <w:spacing w:after="0"/>
        <w:rPr>
          <w:rFonts w:ascii="Arial" w:hAnsi="Arial" w:cs="Arial"/>
          <w:sz w:val="20"/>
          <w:szCs w:val="20"/>
        </w:rPr>
      </w:pPr>
    </w:p>
    <w:p w:rsidR="006D6EFE" w:rsidRPr="00793766" w:rsidRDefault="006D6EFE" w:rsidP="006D6EFE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b/>
          <w:sz w:val="20"/>
          <w:szCs w:val="20"/>
        </w:rPr>
      </w:pPr>
      <w:r w:rsidRPr="00793766">
        <w:rPr>
          <w:rFonts w:ascii="Arial" w:hAnsi="Arial" w:cs="Arial"/>
          <w:b/>
          <w:sz w:val="20"/>
          <w:szCs w:val="20"/>
        </w:rPr>
        <w:t>The Forebrain</w:t>
      </w:r>
      <w:r w:rsidR="00793766" w:rsidRPr="00793766">
        <w:rPr>
          <w:rFonts w:ascii="Arial" w:hAnsi="Arial" w:cs="Arial"/>
          <w:b/>
          <w:sz w:val="20"/>
          <w:szCs w:val="20"/>
        </w:rPr>
        <w:t xml:space="preserve"> (aka cerebrum)</w:t>
      </w:r>
    </w:p>
    <w:p w:rsidR="00793766" w:rsidRDefault="00793766" w:rsidP="006D6EFE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_____________________: An ancient system associated with emotions, instincts, and long-term memory formation ; includes the thalamus, hypothalamus, amygdale, and hippocampus</w:t>
      </w:r>
    </w:p>
    <w:p w:rsidR="006D6EFE" w:rsidRDefault="006D6EFE" w:rsidP="006D6EFE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_____________________: The largest and most complex part of the human brain (the outer portion of the cerebrum)</w:t>
      </w:r>
    </w:p>
    <w:p w:rsidR="006D6EFE" w:rsidRDefault="006D6EFE" w:rsidP="006D6EFE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_____________________: The tissue that connects the left and right cerebral hemispheres (sides) of the brain</w:t>
      </w:r>
    </w:p>
    <w:p w:rsidR="006D6EFE" w:rsidRDefault="006D6EFE" w:rsidP="006D6EFE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four lobes of the cerebral cortex:</w:t>
      </w:r>
    </w:p>
    <w:p w:rsidR="006D6EFE" w:rsidRDefault="006D6EFE" w:rsidP="006D6EFE">
      <w:pPr>
        <w:pStyle w:val="ListParagraph"/>
        <w:numPr>
          <w:ilvl w:val="0"/>
          <w:numId w:val="9"/>
        </w:numPr>
        <w:spacing w:after="0"/>
        <w:ind w:left="28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_______________________: Responsible for judgment and reasoning</w:t>
      </w:r>
    </w:p>
    <w:p w:rsidR="006D6EFE" w:rsidRDefault="006D6EFE" w:rsidP="006D6EFE">
      <w:pPr>
        <w:pStyle w:val="ListParagraph"/>
        <w:numPr>
          <w:ilvl w:val="0"/>
          <w:numId w:val="9"/>
        </w:numPr>
        <w:spacing w:after="0"/>
        <w:ind w:left="28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_______________________: Responsible for the senses of </w:t>
      </w:r>
      <w:r w:rsidR="00793766">
        <w:rPr>
          <w:rFonts w:ascii="Arial" w:hAnsi="Arial" w:cs="Arial"/>
          <w:sz w:val="20"/>
          <w:szCs w:val="20"/>
        </w:rPr>
        <w:t>hearing and smell</w:t>
      </w:r>
    </w:p>
    <w:p w:rsidR="00793766" w:rsidRDefault="00793766" w:rsidP="006D6EFE">
      <w:pPr>
        <w:pStyle w:val="ListParagraph"/>
        <w:numPr>
          <w:ilvl w:val="0"/>
          <w:numId w:val="9"/>
        </w:numPr>
        <w:spacing w:after="0"/>
        <w:ind w:left="28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_______________________: Responsible for vision</w:t>
      </w:r>
    </w:p>
    <w:p w:rsidR="00793766" w:rsidRDefault="00793766" w:rsidP="006D6EFE">
      <w:pPr>
        <w:pStyle w:val="ListParagraph"/>
        <w:numPr>
          <w:ilvl w:val="0"/>
          <w:numId w:val="9"/>
        </w:numPr>
        <w:spacing w:after="0"/>
        <w:ind w:left="28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_______________________: Responsible for spatial understanding and balance/orientation</w:t>
      </w:r>
    </w:p>
    <w:p w:rsidR="00793766" w:rsidRDefault="00793766" w:rsidP="00793766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The _________________________________ extends across the back portion of the frontal lobe and is responsible for movement</w:t>
      </w:r>
    </w:p>
    <w:p w:rsidR="00793766" w:rsidRPr="00793766" w:rsidRDefault="00793766" w:rsidP="00793766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_________________________________ extends across the front portion of the parietal lobe and is responsible for sensing tactile (touch) stimuli</w:t>
      </w:r>
    </w:p>
    <w:p w:rsidR="00793766" w:rsidRDefault="00793766" w:rsidP="00793766">
      <w:pPr>
        <w:spacing w:after="0"/>
        <w:rPr>
          <w:rFonts w:ascii="Arial" w:hAnsi="Arial" w:cs="Arial"/>
          <w:sz w:val="20"/>
          <w:szCs w:val="20"/>
        </w:rPr>
      </w:pPr>
    </w:p>
    <w:p w:rsidR="00793766" w:rsidRDefault="00793766" w:rsidP="00793766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3349255" cy="2211572"/>
            <wp:effectExtent l="19050" t="0" r="3545" b="0"/>
            <wp:docPr id="37" name="Picture 37" descr="https://encrypted-tbn0.gstatic.com/images?q=tbn:ANd9GcQyzvePLKje0_8CoRgloY7yXKdf9TlUglXG1uz7Y0tuTByKmV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encrypted-tbn0.gstatic.com/images?q=tbn:ANd9GcQyzvePLKje0_8CoRgloY7yXKdf9TlUglXG1uz7Y0tuTByKmVR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9463" cy="2211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136900" cy="2349500"/>
            <wp:effectExtent l="19050" t="0" r="635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0" cy="234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3766" w:rsidRPr="00793766" w:rsidRDefault="00793766" w:rsidP="00793766">
      <w:pPr>
        <w:spacing w:after="0"/>
        <w:rPr>
          <w:rFonts w:ascii="Arial" w:hAnsi="Arial" w:cs="Arial"/>
          <w:sz w:val="20"/>
          <w:szCs w:val="20"/>
        </w:rPr>
      </w:pPr>
    </w:p>
    <w:sectPr w:rsidR="00793766" w:rsidRPr="00793766" w:rsidSect="00A478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3E8"/>
    <w:multiLevelType w:val="hybridMultilevel"/>
    <w:tmpl w:val="A8BE02B0"/>
    <w:lvl w:ilvl="0" w:tplc="4904880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92EBE"/>
    <w:multiLevelType w:val="hybridMultilevel"/>
    <w:tmpl w:val="F85214A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5CD08EE"/>
    <w:multiLevelType w:val="hybridMultilevel"/>
    <w:tmpl w:val="7472CAE8"/>
    <w:lvl w:ilvl="0" w:tplc="4904880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A26F9"/>
    <w:multiLevelType w:val="hybridMultilevel"/>
    <w:tmpl w:val="9056AE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33A2422"/>
    <w:multiLevelType w:val="hybridMultilevel"/>
    <w:tmpl w:val="EC3E92E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32CF630A"/>
    <w:multiLevelType w:val="hybridMultilevel"/>
    <w:tmpl w:val="B4800EE8"/>
    <w:lvl w:ilvl="0" w:tplc="4904880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1F714D"/>
    <w:multiLevelType w:val="hybridMultilevel"/>
    <w:tmpl w:val="D4BCB0EE"/>
    <w:lvl w:ilvl="0" w:tplc="4904880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D61C8"/>
    <w:multiLevelType w:val="hybridMultilevel"/>
    <w:tmpl w:val="03A2D12A"/>
    <w:lvl w:ilvl="0" w:tplc="4904880A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1E7180"/>
    <w:multiLevelType w:val="hybridMultilevel"/>
    <w:tmpl w:val="FD96104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56373197"/>
    <w:multiLevelType w:val="hybridMultilevel"/>
    <w:tmpl w:val="8918F34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FE1314F"/>
    <w:multiLevelType w:val="hybridMultilevel"/>
    <w:tmpl w:val="E0603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7"/>
  </w:num>
  <w:num w:numId="6">
    <w:abstractNumId w:val="9"/>
  </w:num>
  <w:num w:numId="7">
    <w:abstractNumId w:val="1"/>
  </w:num>
  <w:num w:numId="8">
    <w:abstractNumId w:val="4"/>
  </w:num>
  <w:num w:numId="9">
    <w:abstractNumId w:val="8"/>
  </w:num>
  <w:num w:numId="10">
    <w:abstractNumId w:val="1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47844"/>
    <w:rsid w:val="00063771"/>
    <w:rsid w:val="00145372"/>
    <w:rsid w:val="00190E77"/>
    <w:rsid w:val="002555D2"/>
    <w:rsid w:val="002A27A5"/>
    <w:rsid w:val="003D6C48"/>
    <w:rsid w:val="00444F8D"/>
    <w:rsid w:val="004A5EFB"/>
    <w:rsid w:val="006A27E3"/>
    <w:rsid w:val="006D6EFE"/>
    <w:rsid w:val="00793766"/>
    <w:rsid w:val="007969A4"/>
    <w:rsid w:val="008F5ABE"/>
    <w:rsid w:val="00A47844"/>
    <w:rsid w:val="00A52F13"/>
    <w:rsid w:val="00AD2099"/>
    <w:rsid w:val="00B46595"/>
    <w:rsid w:val="00CD62E2"/>
    <w:rsid w:val="00F70A4A"/>
    <w:rsid w:val="00FB1F5D"/>
    <w:rsid w:val="00FD2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5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8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6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9A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6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cp:lastPrinted>2013-04-01T21:26:00Z</cp:lastPrinted>
  <dcterms:created xsi:type="dcterms:W3CDTF">2013-04-01T21:27:00Z</dcterms:created>
  <dcterms:modified xsi:type="dcterms:W3CDTF">2013-04-01T21:27:00Z</dcterms:modified>
</cp:coreProperties>
</file>